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1C6473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Е.И. </w:t>
      </w:r>
      <w:proofErr w:type="spellStart"/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Луковникова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C6473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1C647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периферийного оборудования</w:t>
      </w:r>
      <w:r w:rsidR="001C6473">
        <w:rPr>
          <w:rFonts w:ascii="Times New Roman" w:hAnsi="Times New Roman" w:cs="Times New Roman"/>
          <w:bCs/>
          <w:sz w:val="20"/>
          <w:szCs w:val="20"/>
        </w:rPr>
        <w:t xml:space="preserve"> для нужд КУИЦ «Энергетика» БрГУ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1C6473">
        <w:rPr>
          <w:rFonts w:ascii="Times New Roman" w:hAnsi="Times New Roman" w:cs="Times New Roman"/>
          <w:b/>
          <w:sz w:val="20"/>
        </w:rPr>
        <w:t>23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1C6473">
        <w:rPr>
          <w:rFonts w:ascii="Times New Roman" w:hAnsi="Times New Roman" w:cs="Times New Roman"/>
          <w:b/>
          <w:sz w:val="20"/>
        </w:rPr>
        <w:t>декабря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1330"/>
        <w:gridCol w:w="1559"/>
        <w:gridCol w:w="5305"/>
        <w:gridCol w:w="874"/>
        <w:gridCol w:w="978"/>
      </w:tblGrid>
      <w:tr w:rsidR="00FD7310" w:rsidRPr="00A5660D" w:rsidTr="00FD7310">
        <w:trPr>
          <w:trHeight w:val="501"/>
          <w:jc w:val="center"/>
        </w:trPr>
        <w:tc>
          <w:tcPr>
            <w:tcW w:w="58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0" w:type="dxa"/>
            <w:vAlign w:val="center"/>
          </w:tcPr>
          <w:p w:rsidR="00FD7310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1559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30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4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FD7310" w:rsidRPr="00A5660D" w:rsidTr="00FD7310">
        <w:trPr>
          <w:trHeight w:val="298"/>
          <w:jc w:val="center"/>
        </w:trPr>
        <w:tc>
          <w:tcPr>
            <w:tcW w:w="58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7310" w:rsidRPr="00A5660D" w:rsidTr="00FD7310">
        <w:trPr>
          <w:trHeight w:val="290"/>
          <w:jc w:val="center"/>
        </w:trPr>
        <w:tc>
          <w:tcPr>
            <w:tcW w:w="585" w:type="dxa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FD7310" w:rsidRDefault="00FD7310" w:rsidP="0013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26.20.17.110</w:t>
            </w:r>
          </w:p>
          <w:p w:rsidR="00FD7310" w:rsidRPr="00A5660D" w:rsidRDefault="00FD7310" w:rsidP="0013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559" w:type="dxa"/>
          </w:tcPr>
          <w:p w:rsidR="00FD7310" w:rsidRPr="001C6473" w:rsidRDefault="00FD7310" w:rsidP="001C6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</w:p>
        </w:tc>
        <w:tc>
          <w:tcPr>
            <w:tcW w:w="5305" w:type="dxa"/>
          </w:tcPr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Диагональ: не менее 27</w:t>
            </w:r>
            <w:r w:rsidRPr="001314A2">
              <w:rPr>
                <w:sz w:val="20"/>
                <w:szCs w:val="22"/>
              </w:rPr>
              <w:t>’</w:t>
            </w:r>
            <w:r w:rsidRPr="00A132C0">
              <w:rPr>
                <w:sz w:val="20"/>
                <w:szCs w:val="22"/>
              </w:rPr>
              <w:t>’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Разрешение не менее: 1920х1080 </w:t>
            </w:r>
            <w:proofErr w:type="spellStart"/>
            <w:r>
              <w:rPr>
                <w:sz w:val="20"/>
                <w:szCs w:val="22"/>
              </w:rPr>
              <w:t>Пикс</w:t>
            </w:r>
            <w:proofErr w:type="spellEnd"/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Тип матрицы: </w:t>
            </w:r>
            <w:r>
              <w:rPr>
                <w:sz w:val="20"/>
                <w:szCs w:val="22"/>
                <w:lang w:val="en-US"/>
              </w:rPr>
              <w:t>VA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 отклика не более: 4 мс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506D5E">
              <w:rPr>
                <w:sz w:val="20"/>
                <w:szCs w:val="22"/>
              </w:rPr>
              <w:t>Соотношение сторон экрана</w:t>
            </w:r>
            <w:r>
              <w:rPr>
                <w:sz w:val="20"/>
                <w:szCs w:val="22"/>
              </w:rPr>
              <w:t>: не хуже 16:9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506D5E">
              <w:rPr>
                <w:sz w:val="20"/>
                <w:szCs w:val="22"/>
              </w:rPr>
              <w:t>Яркость экрана</w:t>
            </w:r>
            <w:r>
              <w:rPr>
                <w:sz w:val="20"/>
                <w:szCs w:val="22"/>
              </w:rPr>
              <w:t>: не менее 300 кд/м</w:t>
            </w:r>
            <w:proofErr w:type="gramStart"/>
            <w:r>
              <w:rPr>
                <w:sz w:val="20"/>
                <w:szCs w:val="22"/>
              </w:rPr>
              <w:t>2</w:t>
            </w:r>
            <w:proofErr w:type="gramEnd"/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Углы обзора (Г/В): 178/178</w:t>
            </w:r>
          </w:p>
          <w:p w:rsidR="00FD7310" w:rsidRPr="00A132C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Максимальная частота обновлений, не м</w:t>
            </w:r>
            <w:r>
              <w:rPr>
                <w:sz w:val="20"/>
                <w:szCs w:val="22"/>
              </w:rPr>
              <w:t>е</w:t>
            </w:r>
            <w:r>
              <w:rPr>
                <w:sz w:val="20"/>
                <w:szCs w:val="22"/>
              </w:rPr>
              <w:t>нее: 240 ГЦ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Изогнутый экран: должен быть.</w:t>
            </w:r>
          </w:p>
          <w:p w:rsidR="00FD7310" w:rsidRPr="00A132C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  <w:p w:rsidR="00FD7310" w:rsidRPr="00882EA3" w:rsidRDefault="00FD7310" w:rsidP="001C6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FD7310" w:rsidRPr="00882EA3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ванным, не восстановленным</w:t>
            </w:r>
          </w:p>
          <w:p w:rsidR="00FD7310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D7310" w:rsidRPr="00882EA3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на товар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2 месяцев с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мента подписания акта сдачи-приемки товара стор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нами</w:t>
            </w:r>
          </w:p>
        </w:tc>
        <w:tc>
          <w:tcPr>
            <w:tcW w:w="874" w:type="dxa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FD7310" w:rsidRPr="001314A2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D7310" w:rsidRPr="00A5660D" w:rsidTr="00FD7310">
        <w:trPr>
          <w:trHeight w:val="290"/>
          <w:jc w:val="center"/>
        </w:trPr>
        <w:tc>
          <w:tcPr>
            <w:tcW w:w="585" w:type="dxa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FD7310" w:rsidRDefault="00FD7310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.20.18.000</w:t>
            </w:r>
          </w:p>
          <w:p w:rsidR="00FD7310" w:rsidRPr="001314A2" w:rsidRDefault="00FD7310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559" w:type="dxa"/>
          </w:tcPr>
          <w:p w:rsidR="00FD7310" w:rsidRPr="005214F6" w:rsidRDefault="00FD7310" w:rsidP="00521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МФУ</w:t>
            </w:r>
            <w:r w:rsidRPr="001C647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лазе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ное</w:t>
            </w:r>
          </w:p>
        </w:tc>
        <w:tc>
          <w:tcPr>
            <w:tcW w:w="5305" w:type="dxa"/>
          </w:tcPr>
          <w:p w:rsidR="00FD7310" w:rsidRPr="002629DC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2629DC">
              <w:rPr>
                <w:sz w:val="20"/>
                <w:szCs w:val="22"/>
              </w:rPr>
              <w:t xml:space="preserve">Функции устройства: 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принтер, сканер, к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пир.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Принтер: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Технология печати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лазерная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Цветность печати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черно-белая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Максимальный формат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A4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Автоматическая двусторонняя печать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быть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Максимальное разрешение черно-белой печати 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3600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черно-белой печати (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/мин)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38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 (А4)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Время выхода первого черно-белого отпечатка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б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лее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сек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Количество страниц в месяц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80000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Сканер: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Оптическое разрешение сканера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1200x1200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сканирования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29 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Максимальный формат бумаги (сканер)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A4 (216x356)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Устройство автоподачи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должно быть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Тип устройства автоподачи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односторо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нее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Емкость устройства автоподачи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стр.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Копир: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Максимальное разрешение копира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600x600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копирования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38 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Изменение масштаба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25-400 %</w:t>
            </w:r>
          </w:p>
          <w:p w:rsidR="00FD7310" w:rsidRPr="00060FC0" w:rsidRDefault="00FD7310" w:rsidP="001C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Шаг масштабирования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1 %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>Максимальное количество копий за цикл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 не менее</w:t>
            </w: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60FC0">
              <w:rPr>
                <w:color w:val="333333"/>
                <w:sz w:val="20"/>
                <w:szCs w:val="20"/>
              </w:rPr>
              <w:t>999</w:t>
            </w:r>
          </w:p>
          <w:p w:rsidR="00FD7310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FD7310" w:rsidRPr="00AA68F6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Должна быть поддержка </w:t>
            </w:r>
            <w:proofErr w:type="spellStart"/>
            <w:r>
              <w:rPr>
                <w:sz w:val="20"/>
                <w:szCs w:val="22"/>
                <w:lang w:val="en-US"/>
              </w:rPr>
              <w:t>Wi</w:t>
            </w:r>
            <w:proofErr w:type="spellEnd"/>
            <w:r w:rsidRPr="00AA68F6"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  <w:lang w:val="en-US"/>
              </w:rPr>
              <w:t>Fi</w:t>
            </w:r>
            <w:proofErr w:type="spellEnd"/>
            <w:r w:rsidRPr="00AA68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–</w:t>
            </w:r>
            <w:r w:rsidRPr="00AA68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b</w:t>
            </w:r>
            <w:r w:rsidRPr="00AA68F6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  <w:lang w:val="en-US"/>
              </w:rPr>
              <w:t>g</w:t>
            </w:r>
            <w:r w:rsidRPr="00AA68F6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  <w:lang w:val="en-US"/>
              </w:rPr>
              <w:t>n</w:t>
            </w:r>
          </w:p>
          <w:p w:rsidR="00FD7310" w:rsidRPr="001314A2" w:rsidRDefault="00FD7310" w:rsidP="001C647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  <w:p w:rsidR="00FD7310" w:rsidRPr="00882EA3" w:rsidRDefault="00FD7310" w:rsidP="001C6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FD7310" w:rsidRPr="00882EA3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ванным, не восстановленным</w:t>
            </w:r>
          </w:p>
          <w:p w:rsidR="00FD7310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D7310" w:rsidRPr="00882EA3" w:rsidRDefault="00FD7310" w:rsidP="001C647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мента подписания акта сдачи-приемки товара стор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нами</w:t>
            </w:r>
          </w:p>
        </w:tc>
        <w:tc>
          <w:tcPr>
            <w:tcW w:w="874" w:type="dxa"/>
          </w:tcPr>
          <w:p w:rsidR="00FD7310" w:rsidRPr="00A5660D" w:rsidRDefault="00FD7310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978" w:type="dxa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310" w:rsidRPr="00A5660D" w:rsidTr="00FD7310">
        <w:trPr>
          <w:trHeight w:val="290"/>
          <w:jc w:val="center"/>
        </w:trPr>
        <w:tc>
          <w:tcPr>
            <w:tcW w:w="585" w:type="dxa"/>
          </w:tcPr>
          <w:p w:rsidR="00FD7310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30" w:type="dxa"/>
          </w:tcPr>
          <w:p w:rsidR="00FD7310" w:rsidRDefault="00FD7310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26.20.16.160</w:t>
            </w:r>
          </w:p>
          <w:p w:rsidR="00FD7310" w:rsidRPr="005214F6" w:rsidRDefault="00FD7310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559" w:type="dxa"/>
          </w:tcPr>
          <w:p w:rsidR="00FD7310" w:rsidRPr="001314A2" w:rsidRDefault="00FD7310" w:rsidP="00FD7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Интерактивная п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нель</w:t>
            </w:r>
          </w:p>
        </w:tc>
        <w:tc>
          <w:tcPr>
            <w:tcW w:w="5305" w:type="dxa"/>
          </w:tcPr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Сенсорный экран с подсветкой: наличие;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Тип подсветки: прямая светодио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ная;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Форм-фактор моноблок: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Диагональ экрана: не менее 86 дюймов;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Разрешение экрана: не менее 3840х2160 пи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селей;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Точность позиционирования объекта сенсором кас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(линейное перемещение объекта, выз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вающее изменение считываемых коорд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нат): не более 1 мм;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Время отклика сенсора касания (интервал времени ме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ду обновлениями данных о текущих координатах объе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тов касания): не более 10 мс;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Минимальная толщина распознаваемого объекта: не 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лее 2 мм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Количество одновременно распознаваемых касаний се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сорным экраном: не менее 20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Прочность защитного стекла экрана: не менее 7 ед. по шкале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Мооса</w:t>
            </w:r>
            <w:proofErr w:type="spellEnd"/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Угол обзора экрана по горизонтали и вертикали: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178 градусов;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Яркость экрана: не менее 400 кд/м</w:t>
            </w:r>
            <w:proofErr w:type="gram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Статическая контрастность экрана: не менее 5000:1;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Время отклика матрицы экрана: не более 8 мс;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Поверхность экрана: матовая или антиблик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вая;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Суммарная мощность встроенной акустической си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темы: не менее 30 Вт;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Встроенный датчик освещенности, обеспечивающий авт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матическое изменение уровня подсветки экрана: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Адаптер беспроводной связи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802.11a/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, работающий на частоте 2.4 и 5 ГГц, с поддержкой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версии не ниже 4.2 (</w:t>
            </w:r>
            <w:proofErr w:type="gram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адаптер</w:t>
            </w:r>
            <w:proofErr w:type="gram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встра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ваемый в корпус моноблока, при этом допускается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 внешних антенн адаптера):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Динамики акустической системы встроены в корпус мон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блока (не имеют выступающих частей относительно габ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ритов корпуса моноблока):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Количество динамиков: не менее 2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Мощность каждого динамика: не менее 10 Вт;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Объем оперативной памяти встроенного вычислительн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го модуля: не менее 3 Гб;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Объем памяти накопителя данных встроенного вычисл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тельного модуля: не менее 32 Гб;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Ширина моноблока: не более 2000 мм;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Высота моноблока: не более 1190 мм;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Толщина моноблока: менее 115 мм;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Вес моноблока: менее 80 кг;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Количество маркеров в комплекте: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2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Способ крепления маркеров к моноблоку – магни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ный: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Отсутствие лотков для хранения маркера, боксов и др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гих приспособлений, увеличивающих толщину моноблока: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буется соответствие.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Все разъемы прямого подключения моноблока дол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 быть свободны, не допускается применение переходн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ков и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разветв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 том числе, на тыльной стороне монобл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ка: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специализированный слот для установки вычислительн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го блока, содержащий единый разъем подключения ук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занного блока (разъем имеет, как минимум, контакты электропитания вычислител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ного блока от встроенного блока питания, контакты для подключения цифрового 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сигнала): требуется наличие;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HDMI выход версии не ниже 2.0: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HDMI вход версии не ниже 2.0: не менее 2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USB-А версии не ниже 2.0: не менее 2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USB-В: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RS-232: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порт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(разъем RJ-45, вход и 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ход): не менее 2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вход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YPbPr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вход </w:t>
            </w:r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композитный (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3.5 мм):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выход </w:t>
            </w:r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композитный (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3.5 мм):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оптический аудио выход: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аудио выход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3.5 мм: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аудио вход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3.5 мм: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вход VGA: не менее 1 шт.;</w:t>
            </w:r>
          </w:p>
          <w:p w:rsidR="00FD7310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- вход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DisplayPort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версии не ниже 1.2: не 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нее 1 шт.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 том числе, на фронтальной (обращенной к пользоват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лю) панели:</w:t>
            </w:r>
          </w:p>
          <w:p w:rsidR="00FD7310" w:rsidRPr="00E17E93" w:rsidRDefault="00FD7310" w:rsidP="005214F6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HDMI вход версии не ниже 2.0: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USB-А версии не ниже 2.0: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USB-А версии не ниже 3.0: не менее 1 шт.;</w:t>
            </w:r>
          </w:p>
          <w:p w:rsidR="00FD7310" w:rsidRPr="00E17E93" w:rsidRDefault="00FD7310" w:rsidP="005214F6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порт USB-В: не менее 1 шт.;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порт USB-С </w:t>
            </w:r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с поддержкой передачи 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дио, видео и </w:t>
            </w:r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touch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: не менее 1 шт.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Наличие следующих кнопок на фронтальной пан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ли: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кнопка «домой» - обеспечивает возврат на главный э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ран из любого запущенного приложения, перекл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чение из любого источника видеосигнала на главный экран: треб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кнопка «назад» - обеспечивает возврат на уровень 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ше: требуется наличие;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кнопка меню для изменения настроек панели: треб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ется наличие;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кнопки регулировки громкости: требуется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кнопка включения</w:t>
            </w:r>
            <w:r w:rsidRPr="00E1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требуется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Функциональные возможности (все возможности досту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 без использования или необходимости установки д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полнительных сторонних прилож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ний):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Возможность включения панели посредством отпра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ки на нее сигнала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WakeOnLAN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по сети: требуется 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личие;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Количество типов распознаваемых кас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ний: не менее 3;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Тип касания - перо (использование маркера для ввода 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кописного текста, графических объектов): требуется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Тип касания - мышь (использование пальца для перемещ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объектов по экрану): требуется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Тип касания - ластик (использование ладони для стир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текста, объектов): требуется 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личие;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Возможность включения режима игнорирования кас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ний ладонью: требуется нал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Типы касаний распознаются автоматически в зависим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сти от используемого способа ввода без каких-либо перекл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чений и дополнительных настроек: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Использование всех инструментов ввода для рисов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и стирания в различных приложениях, в том числе в брауз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рах: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При использовании всех инструментов ввода прилож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остаются активными (например, видео продолжает во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диться при вводе поверх него заметок, все вкладки или выпадающие меню запущенного в браузере сайта 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таются активными при вводе поверх них заметок): треб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Взаимодействие с мобильными устройствами на операц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онных системах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путем приглашения польз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вателей к просмотру своих записей в режиме 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ального времени через интернет-браузер, посредством сканиров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QR-кода, расположенного на экране и отправки ссы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ки с приглашением: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Внесение удаленными пользователями своих комментар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ев и правок в режиме реального времени на экран си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темы через интернет-браузер или приложение для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Скриншаринг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(использование экранов) нескольких ус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ройств одновременно: не менее 4 ус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ройств;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скриншаринге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от пользователей с мобильными ус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ройствами на операционных системах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не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буется 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и запуск каких-либо приложений на своих ус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ройствах: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пользователем новых папок и перемещение св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их файлов между этими папками: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Функциональные возможности по созданию образовател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ных ресурсов и работе со встроенными образов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тельными ресурсами (все возможности доступны из единого инте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фейсного окна):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Интерфейс рабочего пространства и коллекция образов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тельных ресурсов на русском языке: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таблиц с помощью панели инструментов, вста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ка или перетаскивание в любую ячейку та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лицы текста, изображения или объектов: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Добавление или удаление отдельных ячеек, создание асимметричных таблиц: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Выравнивание объектов, добавление фигур, пункти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ных линии, и закрашенных фигур с двухцветным или тре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цветным или четырехцветным градиентом, а также из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бражениями или узорами: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Использование надстрочных или подстрочных инде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сов, специальных символов и/или условных обозначений: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буется соответствие;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Распознавания введенной информации: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заметок электронными чернилами, преобразов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ние в текст, рисование фигур от руки: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Частичное затенение экрана: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Скрытие необходимой информации, перетаскивая инстр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мент «затенение экрана» на странице: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Работа с файлами форматов: 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bmp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jpg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gif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wmf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Работа с базовыми арифметическими операциями: слож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ние, умножение, вычитание, деление, возведение в ст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пень, извлечение квадратного корня и случайная оп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рация: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Использование рукописных примечаний, печатного те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ста и группы объектов в качестве производимых дейс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вий: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Разделение экрана с одновременным просмо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ром двух или более страниц: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Использование полноэкранного режима для пол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чения страницы большей площади за счет скрытия панели инс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рументов и вкладок: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Автоматическое сохранение файлов с указанием инте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вала от одной минуты до 30 минут или больше: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Распознавание рукописного текста на выбор (англи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ский язык, русский язык):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Режим текстового пера с использованием спец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альных жестов: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вертикальная черта – пробел: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зачеркнуть – удаление: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галочка – вставка: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обвести - замена (текста или цвета):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провести туда обратно – изменить цвет слова цел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ком: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упражнений, в которых объект выступает в кач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стве «контейнера», который принимает или не пр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нимает в себя объекты: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Добавление к объектам упражнений звукового сопрово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дения и/или анимации: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  <w:proofErr w:type="gram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шаблоны упражнений различного 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па: не менее 10 шт.: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заполнение пропусков: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сортировка: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упорядочивание: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соответствия: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переворот: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открытие подписей: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мозговой штурм: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минимум три вида шаблонов, реализ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ванных в виде игр для проверки знаний: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Шаблоны упражнений содержат функциональные элеме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ты: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случайный выбор из списка учеников: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набора чисел: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игровые кости: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- активные кнопки и таймер: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вие.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Транслирование упражнения на личные устройства учен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ков: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Выполнение точных измерений с помощью электро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ной линейки: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5214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Изменение масштаба электронной линейки согласно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бованиям урока, с функцией увеличения или уменьш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длины, не меняя масштаба: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Электронный транспортир в режиме 180 или 240 град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сов с возможностью расширения его до 360 градусов: требуе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Функция, позволяющая работать с графиками, выпо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нять построения на плоскости, работать со стереометр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ческими построениями, выполнять исследования и расчеты по ст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тистике и теории вероятности: требуется 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ответствие;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Компьютерные вычисления CAS (система компьюте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ной алгебры):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динамических обучающих модулей с возможн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стью доступа к интерактивному упра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нению с любого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браузерного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Встроенный функционал для проведения тестир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вания и голосования, обеспечивающий работу с любыми мобил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ными устройствами: требуется соответствие;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тестов, включающих в себя различные типы 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просов (альтернативный выбор, множественный 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бор, истина/ложь, краткий ответ): требуется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Сохранение созданных списков вопросов, для дальнейш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го использования их целиком или отдельных элеме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тов в процессе тестирования, в том числе в рамках ко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структора 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Просмотр статистики по вопросам, как во время провед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 тестирования, так и после его завершения: треб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Приостановление выполнения тестирования: требуе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ся соответствие;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Экспорт результатов в 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по окончании тестиров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ния: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Вставка в занятие 3D моделей и 3D сцен следующих фо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матов: *.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dae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*.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, *.</w:t>
            </w:r>
            <w:proofErr w:type="spell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fbx</w:t>
            </w:r>
            <w:proofErr w:type="spellEnd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: требуется соо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ветствие;</w:t>
            </w:r>
          </w:p>
          <w:p w:rsidR="00FD7310" w:rsidRPr="00E17E93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Выполнение следующих действий с 3D моделями - выр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зать, копировать, вставить, клонировать, перемещать, вращать, масштабировать, блокировать, прикреплять ссылки и звуковое сопровождение, добавлять метки: тр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буется соответс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вие;</w:t>
            </w:r>
            <w:proofErr w:type="gramEnd"/>
          </w:p>
          <w:p w:rsidR="00FD7310" w:rsidRDefault="00FD7310" w:rsidP="00FD73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Создание и прикрепление рукописных пометок, кот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рые могут вращаться вместе с 3D моделью: требуется соотве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>ствие.</w:t>
            </w:r>
          </w:p>
          <w:p w:rsidR="00FD7310" w:rsidRDefault="00FD7310" w:rsidP="00521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комплектация: </w:t>
            </w:r>
          </w:p>
          <w:p w:rsidR="00FD7310" w:rsidRDefault="00FD7310" w:rsidP="005214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ноутбук – 1 шт. со следующими характерист</w:t>
            </w:r>
            <w:r w:rsidRPr="00C86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C86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7310" w:rsidRDefault="00FD7310" w:rsidP="0052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1. Монитор: диагональ не меньше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дюймов. 2. Разреш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ние экрана не хуже, чем 1920х1080 3. Пр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цессор: не ниже </w:t>
            </w:r>
            <w:proofErr w:type="spellStart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i5-10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лент.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4-х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ядер. Тактовая частота центрального процессора не м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ГГц. Технол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гический процесс не менее 14 нм. 4. Память: ОЗУ не менее 8 Гб. ПЗУ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D не менее </w:t>
            </w:r>
            <w:r w:rsidRPr="00C86A3F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б. 5. Виде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карта: дискретный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 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процессора, </w:t>
            </w:r>
            <w:r w:rsidRPr="00C86A3F">
              <w:rPr>
                <w:rFonts w:ascii="Times New Roman" w:hAnsi="Times New Roman" w:cs="Times New Roman"/>
                <w:sz w:val="20"/>
                <w:szCs w:val="20"/>
              </w:rPr>
              <w:t xml:space="preserve">NVIDIA </w:t>
            </w:r>
            <w:proofErr w:type="spellStart"/>
            <w:r w:rsidRPr="00C86A3F">
              <w:rPr>
                <w:rFonts w:ascii="Times New Roman" w:hAnsi="Times New Roman" w:cs="Times New Roman"/>
                <w:sz w:val="20"/>
                <w:szCs w:val="20"/>
              </w:rPr>
              <w:t>GeForce</w:t>
            </w:r>
            <w:proofErr w:type="spellEnd"/>
            <w:r w:rsidRPr="00C86A3F">
              <w:rPr>
                <w:rFonts w:ascii="Times New Roman" w:hAnsi="Times New Roman" w:cs="Times New Roman"/>
                <w:sz w:val="20"/>
                <w:szCs w:val="20"/>
              </w:rPr>
              <w:t xml:space="preserve"> GTX 1650 или э</w:t>
            </w:r>
            <w:r w:rsidRPr="00C86A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6A3F">
              <w:rPr>
                <w:rFonts w:ascii="Times New Roman" w:hAnsi="Times New Roman" w:cs="Times New Roman"/>
                <w:sz w:val="20"/>
                <w:szCs w:val="20"/>
              </w:rPr>
              <w:t>вивалент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памятью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Гб. 6. Разъемы ввода/вывода: должно быть не менее 3 по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тов USB, из них стандарта не ниже 3.1 не менее одного. Об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зательно наличие </w:t>
            </w:r>
            <w:proofErr w:type="spellStart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видеоразъема</w:t>
            </w:r>
            <w:proofErr w:type="spellEnd"/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 HDMI не менее 1. Разъем для нау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26C22">
              <w:rPr>
                <w:rFonts w:ascii="Times New Roman" w:hAnsi="Times New Roman" w:cs="Times New Roman"/>
                <w:sz w:val="20"/>
                <w:szCs w:val="20"/>
              </w:rPr>
              <w:t xml:space="preserve">ников/микрофона 3,5 мм. 7. Обязательно наличие встроенного сетевого адаптера. 8. В комплект поставки ноутбука должен входить кабель питания.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Операцио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система не хуже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dows</w:t>
            </w:r>
            <w:r w:rsidRPr="007518C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7310" w:rsidRPr="00882EA3" w:rsidRDefault="00FD7310" w:rsidP="00FD7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FD7310" w:rsidRPr="00882EA3" w:rsidRDefault="00FD7310" w:rsidP="00FD7310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ванным, не восстановленным</w:t>
            </w:r>
          </w:p>
          <w:p w:rsidR="00FD7310" w:rsidRDefault="00FD7310" w:rsidP="00FD7310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D7310" w:rsidRPr="00E17E93" w:rsidRDefault="00FD7310" w:rsidP="00FD7310">
            <w:pPr>
              <w:pStyle w:val="a5"/>
              <w:tabs>
                <w:tab w:val="left" w:pos="196"/>
              </w:tabs>
              <w:spacing w:after="0" w:line="240" w:lineRule="auto"/>
              <w:ind w:left="0" w:hanging="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та подписания акта сдачи-приемки товара ст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ронами</w:t>
            </w:r>
            <w:r w:rsidRPr="00E1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FD7310" w:rsidRPr="00A5660D" w:rsidRDefault="00FD7310" w:rsidP="00FD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978" w:type="dxa"/>
          </w:tcPr>
          <w:p w:rsidR="00FD7310" w:rsidRPr="00A5660D" w:rsidRDefault="00FD7310" w:rsidP="00FD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lastRenderedPageBreak/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280359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280359" w:rsidRPr="00CB73E7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280359" w:rsidRPr="005979D3" w:rsidTr="00C63351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</w:tr>
      <w:tr w:rsidR="00280359" w:rsidRPr="005979D3" w:rsidTr="00C63351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59" w:rsidRPr="005979D3" w:rsidTr="00C63351">
        <w:trPr>
          <w:trHeight w:val="251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359" w:rsidRPr="005979D3" w:rsidTr="00280359">
        <w:trPr>
          <w:trHeight w:val="489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2629DC" w:rsidRDefault="00280359" w:rsidP="002803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</w:p>
        </w:tc>
        <w:tc>
          <w:tcPr>
            <w:tcW w:w="2057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26 350,00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26 225,00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30 155,00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0359" w:rsidRPr="005979D3" w:rsidTr="00280359">
        <w:trPr>
          <w:trHeight w:val="489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280359" w:rsidRPr="002629DC" w:rsidRDefault="00280359" w:rsidP="00280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МФУ</w:t>
            </w:r>
            <w:r w:rsidRPr="001C647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лазерное</w:t>
            </w:r>
          </w:p>
        </w:tc>
        <w:tc>
          <w:tcPr>
            <w:tcW w:w="2057" w:type="dxa"/>
            <w:vAlign w:val="center"/>
          </w:tcPr>
          <w:p w:rsidR="00280359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32 675,00</w:t>
            </w:r>
          </w:p>
        </w:tc>
        <w:tc>
          <w:tcPr>
            <w:tcW w:w="1869" w:type="dxa"/>
            <w:vAlign w:val="center"/>
          </w:tcPr>
          <w:p w:rsidR="00280359" w:rsidRDefault="00280359" w:rsidP="0028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33 120,00</w:t>
            </w:r>
          </w:p>
        </w:tc>
        <w:tc>
          <w:tcPr>
            <w:tcW w:w="1684" w:type="dxa"/>
            <w:vAlign w:val="center"/>
          </w:tcPr>
          <w:p w:rsidR="00280359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57A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57A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0359" w:rsidRPr="005979D3" w:rsidTr="00280359">
        <w:trPr>
          <w:trHeight w:val="489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280359" w:rsidRDefault="00280359" w:rsidP="00280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Интерактивная панель</w:t>
            </w:r>
          </w:p>
        </w:tc>
        <w:tc>
          <w:tcPr>
            <w:tcW w:w="2057" w:type="dxa"/>
            <w:vAlign w:val="center"/>
          </w:tcPr>
          <w:p w:rsidR="00280359" w:rsidRDefault="00957A70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471 500,00</w:t>
            </w:r>
          </w:p>
        </w:tc>
        <w:tc>
          <w:tcPr>
            <w:tcW w:w="1869" w:type="dxa"/>
            <w:vAlign w:val="center"/>
          </w:tcPr>
          <w:p w:rsidR="00280359" w:rsidRDefault="00957A70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493 620,00</w:t>
            </w:r>
          </w:p>
        </w:tc>
        <w:tc>
          <w:tcPr>
            <w:tcW w:w="1684" w:type="dxa"/>
            <w:vAlign w:val="center"/>
          </w:tcPr>
          <w:p w:rsidR="00280359" w:rsidRDefault="00957A70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468 000,00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6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80359" w:rsidRPr="004F1FF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280359" w:rsidRPr="00394B9F" w:rsidRDefault="00280359" w:rsidP="00280359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280359" w:rsidRPr="00394B9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350,00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26 225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30 155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413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650,05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280359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p w:rsidR="00957A70" w:rsidRPr="00394B9F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2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675,00+33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120,00+31 000,00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=64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530,00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57A70" w:rsidRPr="004F1FFF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p w:rsidR="00957A70" w:rsidRPr="00394B9F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3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471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500,00+493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620,00+468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=955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413,34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57A70" w:rsidRPr="004F1FFF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70" w:rsidRPr="002629DC" w:rsidRDefault="00957A70" w:rsidP="00957A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5660D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27 576,67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413 650,05</w:t>
            </w:r>
          </w:p>
        </w:tc>
      </w:tr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70" w:rsidRPr="002629DC" w:rsidRDefault="00957A70" w:rsidP="00957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МФУ</w:t>
            </w:r>
            <w:r w:rsidRPr="001C647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лазерное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5660D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32 265,00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64 530,00</w:t>
            </w:r>
          </w:p>
        </w:tc>
      </w:tr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70" w:rsidRDefault="00957A70" w:rsidP="00957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Интерактивная панель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477 706,67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955 413,34</w:t>
            </w:r>
          </w:p>
        </w:tc>
      </w:tr>
      <w:tr w:rsidR="00957A70" w:rsidRPr="00A33BCC" w:rsidTr="00957A70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1 433 593,39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57A70">
        <w:rPr>
          <w:rFonts w:ascii="Times New Roman" w:hAnsi="Times New Roman"/>
          <w:b/>
          <w:color w:val="FF0000"/>
          <w:sz w:val="20"/>
        </w:rPr>
        <w:t>1 433 593,39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957A70">
        <w:rPr>
          <w:rFonts w:ascii="Times New Roman" w:hAnsi="Times New Roman"/>
          <w:sz w:val="20"/>
        </w:rPr>
        <w:t xml:space="preserve">один миллион четыреста тридцать три </w:t>
      </w:r>
      <w:r>
        <w:rPr>
          <w:rFonts w:ascii="Times New Roman" w:hAnsi="Times New Roman"/>
          <w:sz w:val="20"/>
        </w:rPr>
        <w:t>тысяч</w:t>
      </w:r>
      <w:r w:rsidR="00957A70">
        <w:rPr>
          <w:rFonts w:ascii="Times New Roman" w:hAnsi="Times New Roman"/>
          <w:sz w:val="20"/>
        </w:rPr>
        <w:t>и пятьсот девяносто три</w:t>
      </w:r>
      <w:r>
        <w:rPr>
          <w:rFonts w:ascii="Times New Roman" w:hAnsi="Times New Roman"/>
          <w:sz w:val="20"/>
        </w:rPr>
        <w:t xml:space="preserve"> рубл</w:t>
      </w:r>
      <w:r w:rsidR="00957A70"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</w:t>
      </w:r>
      <w:r w:rsidR="00957A70">
        <w:rPr>
          <w:rFonts w:ascii="Times New Roman" w:hAnsi="Times New Roman"/>
          <w:sz w:val="20"/>
        </w:rPr>
        <w:t>39</w:t>
      </w:r>
      <w:r w:rsidRPr="003209DC">
        <w:rPr>
          <w:rFonts w:ascii="Times New Roman" w:hAnsi="Times New Roman"/>
          <w:sz w:val="20"/>
        </w:rPr>
        <w:t xml:space="preserve"> к</w:t>
      </w:r>
      <w:r w:rsidRPr="003209DC">
        <w:rPr>
          <w:rFonts w:ascii="Times New Roman" w:hAnsi="Times New Roman"/>
          <w:sz w:val="20"/>
        </w:rPr>
        <w:t>о</w:t>
      </w:r>
      <w:r w:rsidRPr="003209DC">
        <w:rPr>
          <w:rFonts w:ascii="Times New Roman" w:hAnsi="Times New Roman"/>
          <w:sz w:val="20"/>
        </w:rPr>
        <w:t>пе</w:t>
      </w:r>
      <w:r w:rsidR="00957A70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lastRenderedPageBreak/>
        <w:t>погрузо-разгрузочные работы (в помещении Учебно-лабораторного корпуса №1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1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82485" w:rsidRPr="00A82485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485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A82485">
        <w:rPr>
          <w:rFonts w:ascii="Times New Roman" w:hAnsi="Times New Roman" w:cs="Times New Roman"/>
          <w:sz w:val="20"/>
          <w:szCs w:val="20"/>
        </w:rPr>
        <w:t>а</w:t>
      </w:r>
      <w:r w:rsidRPr="00A82485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A82485">
        <w:rPr>
          <w:rFonts w:ascii="Times New Roman" w:hAnsi="Times New Roman" w:cs="Times New Roman"/>
          <w:b/>
          <w:sz w:val="20"/>
          <w:szCs w:val="20"/>
        </w:rPr>
        <w:t>ЭТП «ТЭК-Торг».</w:t>
      </w:r>
      <w:r w:rsidRPr="00A82485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Pr="00A82485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https://www.tektorg.ru/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957A70"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957A70">
        <w:rPr>
          <w:rFonts w:ascii="Times New Roman" w:hAnsi="Times New Roman" w:cs="Times New Roman"/>
          <w:b/>
          <w:sz w:val="20"/>
          <w:szCs w:val="20"/>
        </w:rPr>
        <w:t>20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957A70"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8C7680"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8C7680"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80" w:rsidRDefault="008C768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A82485">
        <w:rPr>
          <w:rFonts w:ascii="Times New Roman" w:hAnsi="Times New Roman" w:cs="Times New Roman"/>
          <w:sz w:val="20"/>
          <w:szCs w:val="20"/>
        </w:rPr>
        <w:t xml:space="preserve">периферийного и 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компьютерного оборудования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54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0.202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08" w:rsidRDefault="00631408" w:rsidP="003D59F3">
      <w:pPr>
        <w:spacing w:after="0" w:line="240" w:lineRule="auto"/>
      </w:pPr>
      <w:r>
        <w:separator/>
      </w:r>
    </w:p>
  </w:endnote>
  <w:endnote w:type="continuationSeparator" w:id="0">
    <w:p w:rsidR="00631408" w:rsidRDefault="0063140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D7310" w:rsidRDefault="00FD7310">
        <w:pPr>
          <w:pStyle w:val="a3"/>
          <w:jc w:val="right"/>
        </w:pPr>
        <w:fldSimple w:instr=" PAGE   \* MERGEFORMAT ">
          <w:r w:rsidR="008C7680">
            <w:rPr>
              <w:noProof/>
            </w:rPr>
            <w:t>16</w:t>
          </w:r>
        </w:fldSimple>
      </w:p>
    </w:sdtContent>
  </w:sdt>
  <w:p w:rsidR="00FD7310" w:rsidRDefault="00FD73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08" w:rsidRDefault="00631408" w:rsidP="003D59F3">
      <w:pPr>
        <w:spacing w:after="0" w:line="240" w:lineRule="auto"/>
      </w:pPr>
      <w:r>
        <w:separator/>
      </w:r>
    </w:p>
  </w:footnote>
  <w:footnote w:type="continuationSeparator" w:id="0">
    <w:p w:rsidR="00631408" w:rsidRDefault="0063140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7725991"/>
    <w:multiLevelType w:val="multilevel"/>
    <w:tmpl w:val="BE5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2"/>
  </w:num>
  <w:num w:numId="5">
    <w:abstractNumId w:val="10"/>
  </w:num>
  <w:num w:numId="6">
    <w:abstractNumId w:val="26"/>
  </w:num>
  <w:num w:numId="7">
    <w:abstractNumId w:val="20"/>
  </w:num>
  <w:num w:numId="8">
    <w:abstractNumId w:val="11"/>
  </w:num>
  <w:num w:numId="9">
    <w:abstractNumId w:val="27"/>
  </w:num>
  <w:num w:numId="10">
    <w:abstractNumId w:val="0"/>
  </w:num>
  <w:num w:numId="11">
    <w:abstractNumId w:val="32"/>
  </w:num>
  <w:num w:numId="12">
    <w:abstractNumId w:val="8"/>
  </w:num>
  <w:num w:numId="13">
    <w:abstractNumId w:val="5"/>
  </w:num>
  <w:num w:numId="14">
    <w:abstractNumId w:val="29"/>
  </w:num>
  <w:num w:numId="15">
    <w:abstractNumId w:val="25"/>
  </w:num>
  <w:num w:numId="16">
    <w:abstractNumId w:val="3"/>
  </w:num>
  <w:num w:numId="17">
    <w:abstractNumId w:val="28"/>
  </w:num>
  <w:num w:numId="18">
    <w:abstractNumId w:val="3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30"/>
  </w:num>
  <w:num w:numId="28">
    <w:abstractNumId w:val="6"/>
  </w:num>
  <w:num w:numId="29">
    <w:abstractNumId w:val="17"/>
  </w:num>
  <w:num w:numId="30">
    <w:abstractNumId w:val="9"/>
  </w:num>
  <w:num w:numId="31">
    <w:abstractNumId w:val="15"/>
  </w:num>
  <w:num w:numId="32">
    <w:abstractNumId w:val="33"/>
  </w:num>
  <w:num w:numId="33">
    <w:abstractNumId w:val="19"/>
  </w:num>
  <w:num w:numId="34">
    <w:abstractNumId w:val="16"/>
  </w:num>
  <w:num w:numId="35">
    <w:abstractNumId w:val="14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8618</Words>
  <Characters>49124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57</cp:revision>
  <cp:lastPrinted>2019-04-03T03:40:00Z</cp:lastPrinted>
  <dcterms:created xsi:type="dcterms:W3CDTF">2014-10-02T06:08:00Z</dcterms:created>
  <dcterms:modified xsi:type="dcterms:W3CDTF">2021-10-12T07:56:00Z</dcterms:modified>
</cp:coreProperties>
</file>